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w:t>
      </w:r>
      <w:proofErr w:type="gramStart"/>
      <w:r w:rsidR="000A4CE0">
        <w:rPr>
          <w:rFonts w:eastAsiaTheme="minorEastAsia" w:cstheme="minorHAnsi"/>
          <w:b/>
          <w:bCs/>
          <w:lang w:val="en-US"/>
        </w:rPr>
        <w:t>MULTI-LEVEL</w:t>
      </w:r>
      <w:proofErr w:type="gramEnd"/>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0141E9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942524">
        <w:rPr>
          <w:rFonts w:eastAsiaTheme="minorEastAsia" w:cstheme="minorHAnsi"/>
          <w:sz w:val="20"/>
          <w:szCs w:val="20"/>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proofErr w:type="spellStart"/>
            <w:r w:rsidR="0049235B" w:rsidRPr="0016689A">
              <w:rPr>
                <w:rFonts w:asciiTheme="minorHAnsi" w:hAnsiTheme="minorHAnsi" w:cstheme="minorHAnsi"/>
                <w:color w:val="000000" w:themeColor="text1"/>
              </w:rPr>
              <w:t>aminoplastic</w:t>
            </w:r>
            <w:proofErr w:type="spellEnd"/>
            <w:r w:rsidR="0049235B" w:rsidRPr="0016689A">
              <w:rPr>
                <w:rFonts w:asciiTheme="minorHAnsi" w:hAnsiTheme="minorHAnsi" w:cstheme="minorHAnsi"/>
                <w:color w:val="000000" w:themeColor="text1"/>
              </w:rPr>
              <w:t xml:space="preserve">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w:t>
            </w:r>
            <w:proofErr w:type="spellStart"/>
            <w:r w:rsidRPr="00144248">
              <w:rPr>
                <w:rFonts w:asciiTheme="minorHAnsi" w:hAnsiTheme="minorHAnsi" w:cstheme="minorHAnsi"/>
              </w:rPr>
              <w:t>aminoplastic</w:t>
            </w:r>
            <w:proofErr w:type="spellEnd"/>
            <w:r w:rsidRPr="00144248">
              <w:rPr>
                <w:rFonts w:asciiTheme="minorHAnsi" w:hAnsiTheme="minorHAnsi" w:cstheme="minorHAnsi"/>
              </w:rPr>
              <w:t xml:space="preserve">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proofErr w:type="spellStart"/>
            <w:r w:rsidR="009A3FED" w:rsidRPr="002D37C1">
              <w:rPr>
                <w:rFonts w:asciiTheme="minorHAnsi" w:hAnsiTheme="minorHAnsi" w:cstheme="minorHAnsi"/>
                <w:color w:val="000000" w:themeColor="text1"/>
              </w:rPr>
              <w:t>Worksafe</w:t>
            </w:r>
            <w:proofErr w:type="spellEnd"/>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 xml:space="preserve">These ratings are then combined and divided by 2 to provide an average which per NZBC can be no less than 55.  In the certificate attached we have an </w:t>
            </w:r>
            <w:proofErr w:type="spellStart"/>
            <w:r w:rsidRPr="003A4DE9">
              <w:rPr>
                <w:rFonts w:asciiTheme="minorHAnsi" w:hAnsiTheme="minorHAnsi" w:cstheme="minorHAnsi"/>
              </w:rPr>
              <w:t>L’nT</w:t>
            </w:r>
            <w:proofErr w:type="spellEnd"/>
            <w:r w:rsidRPr="003A4DE9">
              <w:rPr>
                <w:rFonts w:asciiTheme="minorHAnsi" w:hAnsiTheme="minorHAnsi" w:cstheme="minorHAnsi"/>
              </w:rPr>
              <w:t xml:space="preserve">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2.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3.xml><?xml version="1.0" encoding="utf-8"?>
<ds:datastoreItem xmlns:ds="http://schemas.openxmlformats.org/officeDocument/2006/customXml" ds:itemID="{92178061-A5BB-4184-9A83-89B650C15FCB}"/>
</file>

<file path=customXml/itemProps4.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227</cp:revision>
  <cp:lastPrinted>2022-11-08T03:32:00Z</cp:lastPrinted>
  <dcterms:created xsi:type="dcterms:W3CDTF">2022-10-26T01:58:00Z</dcterms:created>
  <dcterms:modified xsi:type="dcterms:W3CDTF">2022-11-13T19:11:00Z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