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CA6CDF17-1BC1-4679-926A-FB41E24C37D3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